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1-kings-2"/>
    <w:p>
      <w:pPr>
        <w:pStyle w:val="Heading1"/>
      </w:pPr>
      <w:r>
        <w:t xml:space="preserve">Homiletics Analysis: 1 Kings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Kings 2 falls into two movements. The first (vv. 1–12) records David’s final charge to Solomon before his death: a double commission consisting of a personal exhortation to covenant fidelity (vv. 1–4) and a series of specific directives regarding Joab, the sons of Barzillai, and Shimei (vv. 5–9). David dies, and Solomon’s kingdom is established (vv. 10–12). The second movement (vv. 13–46) narrates Solomon’s consolidation of his throne through four decisive acts: the execution of Adonijah (vv. 13–25), the expulsion of Abiathar from the priesthood (vv. 26–27), the execution of Joab (vv. 28–35), and the execution of Shimei (vv. 36–46). The chapter closes with the climactic summary:</w:t>
      </w:r>
      <w:r>
        <w:t xml:space="preserve"> </w:t>
      </w:r>
      <w:r>
        <w:t xml:space="preserve">“The kingdom was now firmly established in Solomon’s hands”</w:t>
      </w:r>
      <w:r>
        <w:t xml:space="preserve"> </w:t>
      </w:r>
      <w:r>
        <w:t xml:space="preserve">(v. 46b).</w:t>
      </w:r>
    </w:p>
    <w:p>
      <w:pPr>
        <w:pStyle w:val="BodyText"/>
      </w:pPr>
      <w:r>
        <w:t xml:space="preserve">The chapter is not merely court intrigue. David’s charge frames the whole: covenant faithfulness is the condition of dynastic permanence (vv. 3–4), and the unfinished business David assigns Solomon is not petty revenge but the clearing of covenantal and judicial accounts that David himself, for political reasons, could not complete. Solomon’s execution of these directives — and their extension in the case of Adonijah and Shimei — demonstrates a king who understands that justice is not optional ornamentation on power but the foundation on which righteous rule stands.</w:t>
      </w:r>
    </w:p>
    <w:p>
      <w:pPr>
        <w:pStyle w:val="BodyText"/>
      </w:pPr>
      <w:r>
        <w:rPr>
          <w:b/>
          <w:bCs/>
        </w:rPr>
        <w:t xml:space="preserve">This Text — Intent:</w:t>
      </w:r>
    </w:p>
    <w:p>
      <w:pPr>
        <w:pStyle w:val="BodyText"/>
      </w:pPr>
      <w:r>
        <w:t xml:space="preserve">God is working through this chapter to demonstrate that His purposes cannot be thwarted by human conspiracy, deferred justice, or dynastic instability — and that the king who governs according to God’s covenant will see his kingdom established, while those who rebel against God’s anointed will not survive. The intent is not merely to narrate Solomon’s rise but to confront every reader with the claim that God’s word stands, God’s king prevails, and the attempt to seize what God has not given ends in ruin. The passage calls readers to submission to God’s established order and to sober confidence that divine justice — even when slow — arrives.</w:t>
      </w:r>
    </w:p>
    <w:p>
      <w:r>
        <w:pict>
          <v:rect style="width:0;height:1.5pt" o:hralign="center" o:hrstd="t" o:hr="t"/>
        </w:pict>
      </w:r>
    </w:p>
    <w:p>
      <w:pPr>
        <w:pStyle w:val="FirstParagraph"/>
      </w:pPr>
      <w:r>
        <w:rPr>
          <w:b/>
          <w:bCs/>
        </w:rPr>
        <w:t xml:space="preserve">Subject Sentence:</w:t>
      </w:r>
      <w:r>
        <w:t xml:space="preserve"> </w:t>
      </w:r>
      <w:r>
        <w:t xml:space="preserve">God’s chosen king consolidates his throne through covenant faithfulness and the execution of justice.</w:t>
      </w:r>
    </w:p>
    <w:p>
      <w:r>
        <w:pict>
          <v:rect style="width:0;height:1.5pt" o:hralign="center" o:hrstd="t" o:hr="t"/>
        </w:pict>
      </w:r>
    </w:p>
    <w:p>
      <w:pPr>
        <w:pStyle w:val="FirstParagraph"/>
      </w:pPr>
      <w:r>
        <w:rPr>
          <w:b/>
          <w:bCs/>
        </w:rPr>
        <w:t xml:space="preserve">Primary Claim:</w:t>
      </w:r>
      <w:r>
        <w:t xml:space="preserve"> </w:t>
      </w:r>
      <w:r>
        <w:t xml:space="preserve">God is demonstrating that His purposes for His anointed king cannot be undone by conspiracy, unfinished accounts, or rival ambition — and that the kingdom established according to His word will stand while every alternative collapses.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moral question: Is David’s deathbed charge vindictive?</w:t>
      </w:r>
    </w:p>
    <w:p>
      <w:pPr>
        <w:pStyle w:val="BodyText"/>
      </w:pPr>
      <w:r>
        <w:t xml:space="preserve">The most common interpretive challenge this chapter generates concerns David’s instructions in verses 5–9. On a surface reading, David appears to be a dying man settling personal scores — instructing his son to kill Joab and Shimei, men whom David himself had publicly spared. Secular and critical readers often read this as political hypocrisy dressed in piety. Some Christian readers, uncomfortable with the apparent contradiction between David’s public mercy and private instruction, minimize or allegorize the passage. Neither reading accounts for the text on its own terms.</w:t>
      </w:r>
    </w:p>
    <w:p>
      <w:pPr>
        <w:pStyle w:val="BodyText"/>
      </w:pPr>
      <w:r>
        <w:t xml:space="preserve">The Reformed reading acknowledges the moral tension without dissolving it, and resolves it at a deeper level. Joab’s crimes — the murders of Abner and Amasa — were not personal affronts to David but violations of covenant justice that David was politically unable to address during his reign (he says so explicitly in vv. 5–6). The blood guilt was real and remained outstanding. Similarly, Shimei’s curse against the LORD’s anointed (2 Samuel 16) was not a personal slight but a covenantal offense. David’s oath not to kill Shimei (2 Samuel 19:23) bound David, not Solomon. These are not acts of petty revenge but the discharge of justice that the Mosaic covenant demanded. David is not a vindictive old man — he is a king making a final accounting before God and entrusting the completion of justice to his successor.</w:t>
      </w:r>
    </w:p>
    <w:p>
      <w:pPr>
        <w:pStyle w:val="BodyText"/>
      </w:pPr>
      <w:r>
        <w:rPr>
          <w:b/>
          <w:bCs/>
        </w:rPr>
        <w:t xml:space="preserve">The dispensational reading: Solomon as type?</w:t>
      </w:r>
    </w:p>
    <w:p>
      <w:pPr>
        <w:pStyle w:val="BodyText"/>
      </w:pPr>
      <w:r>
        <w:t xml:space="preserve">Some dispensational and typological readers are eager to read Solomon purely as a Christ-type — the king of peace whose kingdom is established in glory. This reading is not wrong as far as it goes, but if applied too aggressively to 1 Kings 2, it risks bypassing the chapter’s own claim. The historical Solomon is not a transparent Christ-type in the executions of chapter 2. His methods are those of a Near Eastern monarch establishing his throne. The chapter’s typological horizon is real (covenant faithfulness as the condition of dynastic permanence, the kingdom established by divine oath) but should not be read so that the historical narrative evaporates into allegory. The text functions first as history with a theological argument, and any typological reading must rest on that foundation rather than replace it.</w:t>
      </w:r>
    </w:p>
    <w:p>
      <w:pPr>
        <w:pStyle w:val="BodyText"/>
      </w:pPr>
      <w:r>
        <w:rPr>
          <w:b/>
          <w:bCs/>
        </w:rPr>
        <w:t xml:space="preserve">The Wesleyan/Arminian concern: conditional covenant and human cooperation</w:t>
      </w:r>
    </w:p>
    <w:p>
      <w:pPr>
        <w:pStyle w:val="BodyText"/>
      </w:pPr>
      <w:r>
        <w:t xml:space="preserve">Verses 2–4 are sometimes read through a Wesleyan lens as evidence that covenant promises are conditional in a way that undermines the security of God’s purposes — as though David is warning that God’s promise to the dynasty</w:t>
      </w:r>
      <w:r>
        <w:t xml:space="preserve"> </w:t>
      </w:r>
      <w:r>
        <w:rPr>
          <w:i/>
          <w:iCs/>
        </w:rPr>
        <w:t xml:space="preserve">might</w:t>
      </w:r>
      <w:r>
        <w:t xml:space="preserve"> </w:t>
      </w:r>
      <w:r>
        <w:t xml:space="preserve">fail depending on Solomon’s performance. This reading takes the conditional syntax seriously but draws too strong a conclusion. The Reformed reading does not deny the conditionality of the Davidic covenant at the level of</w:t>
      </w:r>
      <w:r>
        <w:t xml:space="preserve"> </w:t>
      </w:r>
      <w:r>
        <w:rPr>
          <w:i/>
          <w:iCs/>
        </w:rPr>
        <w:t xml:space="preserve">individual kings and their prosperity</w:t>
      </w:r>
      <w:r>
        <w:t xml:space="preserve"> </w:t>
      </w:r>
      <w:r>
        <w:t xml:space="preserve">— it affirms it. But the ultimate fulfillment of the Davidic covenant does not rest on Solomon’s obedience, as the subsequent narrative (and ultimately the New Testament) makes clear. David’s exhortation to Solomon is a genuine call to faithfulness within a covenant whose ultimate guarantee rests on divine commitment, not human performance. The conditionality is real and serious; it is not, however, the last word about the covenant’s final stability.</w:t>
      </w:r>
    </w:p>
    <w:p>
      <w:pPr>
        <w:pStyle w:val="BodyText"/>
      </w:pPr>
      <w:r>
        <w:rPr>
          <w:b/>
          <w:bCs/>
        </w:rPr>
        <w:t xml:space="preserve">Verdict</w:t>
      </w:r>
      <w:r>
        <w:t xml:space="preserve">: The Reformed reading — that this chapter narrates the providential establishment of God’s chosen king through the completion of justice, framed by covenant exhortation — best accounts for the whole text in its literary, historical, and canonical context. The moral tension is real and should not be softened, but it is resolved by understanding the difference between personal vengeance and covenantal justice, and between David’s political constraints and Solomon’s freedom to act.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Samuel 7:12–16</w:t>
      </w:r>
      <w:r>
        <w:t xml:space="preserve"> </w:t>
      </w:r>
      <w:r>
        <w:t xml:space="preserve">— The Davidic covenant promise is the theological backdrop against which David’s charge to Solomon must be read; God’s oath to establish David’s throne forever is what gives the conditional exhortation of vv. 2–4 its weight and stakes.</w:t>
      </w:r>
    </w:p>
    <w:p>
      <w:pPr>
        <w:numPr>
          <w:ilvl w:val="0"/>
          <w:numId w:val="1001"/>
        </w:numPr>
      </w:pPr>
      <w:r>
        <w:rPr>
          <w:b/>
          <w:bCs/>
        </w:rPr>
        <w:t xml:space="preserve">Deuteronomy 17:14–20</w:t>
      </w:r>
      <w:r>
        <w:t xml:space="preserve"> </w:t>
      </w:r>
      <w:r>
        <w:t xml:space="preserve">— The law of the king: the king must write out and keep God’s law, must not exalt himself, and must govern in submission to the covenant — precisely what David charges Solomon to do and what the chapter’s outcomes illustrate.</w:t>
      </w:r>
    </w:p>
    <w:p>
      <w:pPr>
        <w:numPr>
          <w:ilvl w:val="0"/>
          <w:numId w:val="1001"/>
        </w:numPr>
      </w:pPr>
      <w:r>
        <w:rPr>
          <w:b/>
          <w:bCs/>
        </w:rPr>
        <w:t xml:space="preserve">Numbers 35:30–33</w:t>
      </w:r>
      <w:r>
        <w:t xml:space="preserve"> </w:t>
      </w:r>
      <w:r>
        <w:t xml:space="preserve">— The law of blood guilt: unpunished murder defiles the land and cannot be atoned for except by the blood of the murderer; this passage grounds David’s charge concerning Joab and explains why Joab’s unpunished murders were not merely past history but ongoing covenantal liability.</w:t>
      </w:r>
    </w:p>
    <w:p>
      <w:pPr>
        <w:numPr>
          <w:ilvl w:val="0"/>
          <w:numId w:val="1001"/>
        </w:numPr>
      </w:pPr>
      <w:r>
        <w:rPr>
          <w:b/>
          <w:bCs/>
        </w:rPr>
        <w:t xml:space="preserve">Psalm 89:28–37</w:t>
      </w:r>
      <w:r>
        <w:t xml:space="preserve"> </w:t>
      </w:r>
      <w:r>
        <w:t xml:space="preserve">— God’s sworn covenant with David, acknowledging the conditional consequences for disobedient sons while affirming the ultimate inviolability of the covenant itself — the tension between David’s exhortation and God’s sovereign purpose held together.</w:t>
      </w:r>
    </w:p>
    <w:p>
      <w:pPr>
        <w:numPr>
          <w:ilvl w:val="0"/>
          <w:numId w:val="1001"/>
        </w:numPr>
      </w:pPr>
      <w:r>
        <w:rPr>
          <w:b/>
          <w:bCs/>
        </w:rPr>
        <w:t xml:space="preserve">Luke 1:32–33; Acts 2:29–36</w:t>
      </w:r>
      <w:r>
        <w:t xml:space="preserve"> </w:t>
      </w:r>
      <w:r>
        <w:t xml:space="preserve">— The ultimate fulfillment of the Davidic covenant in Christ, whose kingdom is established not by the sword but by the resurrection; what Solomon’s consolidation anticipates in type is accomplished in reality in the resurrection and enthronement of the Son of David.</w:t>
      </w:r>
    </w:p>
    <w:p>
      <w:r>
        <w:pict>
          <v:rect style="width:0;height:1.5pt" o:hralign="center" o:hrstd="t" o:hr="t"/>
        </w:pict>
      </w:r>
    </w:p>
    <w:bookmarkEnd w:id="11"/>
    <w:bookmarkStart w:id="12" w:name="aim"/>
    <w:p>
      <w:pPr>
        <w:pStyle w:val="Heading2"/>
      </w:pPr>
      <w:r>
        <w:t xml:space="preserve">Aim</w:t>
      </w:r>
    </w:p>
    <w:p>
      <w:pPr>
        <w:pStyle w:val="FirstParagraph"/>
      </w:pPr>
      <w:r>
        <w:t xml:space="preserve">To demonstrate that God’s purposes for His king stand firm against all opposition — and to call readers to covenant faithfulness, sober confidence in divine justice, and submission to God’s established order rather than grasping for what He has not given.</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1–2a</w:t>
            </w:r>
          </w:p>
        </w:tc>
        <w:tc>
          <w:tcPr/>
          <w:p>
            <w:pPr>
              <w:pStyle w:val="Compact"/>
            </w:pPr>
            <w:r>
              <w:t xml:space="preserve">David, knowing his death is near, summons Solomon for a final charge</w:t>
            </w:r>
          </w:p>
        </w:tc>
        <w:tc>
          <w:tcPr/>
          <w:p>
            <w:pPr>
              <w:pStyle w:val="Compact"/>
            </w:pPr>
            <w:r>
              <w:t xml:space="preserve">“I am about to go the way of all the earth”</w:t>
            </w:r>
            <w:r>
              <w:t xml:space="preserve"> </w:t>
            </w:r>
            <w:r>
              <w:t xml:space="preserve">— the Deuteronomic farewell pattern (cf. Deut. 31, Joshua 23)</w:t>
            </w:r>
          </w:p>
        </w:tc>
      </w:tr>
      <w:tr>
        <w:tc>
          <w:tcPr/>
          <w:p>
            <w:pPr>
              <w:pStyle w:val="Compact"/>
            </w:pPr>
            <w:r>
              <w:t xml:space="preserve">2b–4</w:t>
            </w:r>
          </w:p>
        </w:tc>
        <w:tc>
          <w:tcPr/>
          <w:p>
            <w:pPr>
              <w:pStyle w:val="Compact"/>
            </w:pPr>
            <w:r>
              <w:t xml:space="preserve">David charges Solomon to walk in God’s ways according to the Law of Moses; dynastic promise is tied to covenant faithfulness</w:t>
            </w:r>
          </w:p>
        </w:tc>
        <w:tc>
          <w:tcPr/>
          <w:p>
            <w:pPr>
              <w:pStyle w:val="Compact"/>
            </w:pPr>
            <w:r>
              <w:t xml:space="preserve">Conditional syntax:</w:t>
            </w:r>
            <w:r>
              <w:t xml:space="preserve"> </w:t>
            </w:r>
            <w:r>
              <w:t xml:space="preserve">“if your sons watch how they live”</w:t>
            </w:r>
            <w:r>
              <w:t xml:space="preserve"> </w:t>
            </w:r>
            <w:r>
              <w:t xml:space="preserve">— conditionality is real but not the final word on the Davidic covenant</w:t>
            </w:r>
          </w:p>
        </w:tc>
      </w:tr>
      <w:tr>
        <w:tc>
          <w:tcPr/>
          <w:p>
            <w:pPr>
              <w:pStyle w:val="Compact"/>
            </w:pPr>
            <w:r>
              <w:t xml:space="preserve">5–6</w:t>
            </w:r>
          </w:p>
        </w:tc>
        <w:tc>
          <w:tcPr/>
          <w:p>
            <w:pPr>
              <w:pStyle w:val="Compact"/>
            </w:pPr>
            <w:r>
              <w:t xml:space="preserve">David directs Solomon to deal with Joab for the murders of Abner and Amasa; do not let his gray head go down to the grave in peace</w:t>
            </w:r>
          </w:p>
        </w:tc>
        <w:tc>
          <w:tcPr/>
          <w:p>
            <w:pPr>
              <w:pStyle w:val="Compact"/>
            </w:pPr>
            <w:r>
              <w:t xml:space="preserve">David cites the specific offenses: blood guilt that was politically deferred, not forgiven</w:t>
            </w:r>
          </w:p>
        </w:tc>
      </w:tr>
      <w:tr>
        <w:tc>
          <w:tcPr/>
          <w:p>
            <w:pPr>
              <w:pStyle w:val="Compact"/>
            </w:pPr>
            <w:r>
              <w:t xml:space="preserve">7</w:t>
            </w:r>
          </w:p>
        </w:tc>
        <w:tc>
          <w:tcPr/>
          <w:p>
            <w:pPr>
              <w:pStyle w:val="Compact"/>
            </w:pPr>
            <w:r>
              <w:t xml:space="preserve">Solomon is to show kindness to the sons of Barzillai who supported David during Absalom’s rebellion</w:t>
            </w:r>
          </w:p>
        </w:tc>
        <w:tc>
          <w:tcPr/>
          <w:p>
            <w:pPr>
              <w:pStyle w:val="Compact"/>
            </w:pPr>
            <w:r>
              <w:t xml:space="preserve">Loyalty rewarded; covenant memory honored</w:t>
            </w:r>
          </w:p>
        </w:tc>
      </w:tr>
      <w:tr>
        <w:tc>
          <w:tcPr/>
          <w:p>
            <w:pPr>
              <w:pStyle w:val="Compact"/>
            </w:pPr>
            <w:r>
              <w:t xml:space="preserve">8–9</w:t>
            </w:r>
          </w:p>
        </w:tc>
        <w:tc>
          <w:tcPr/>
          <w:p>
            <w:pPr>
              <w:pStyle w:val="Compact"/>
            </w:pPr>
            <w:r>
              <w:t xml:space="preserve">David directs Solomon regarding Shimei — his oath bound himself, not Solomon; Shimei’s offense against the LORD’s anointed must not go unpunished</w:t>
            </w:r>
          </w:p>
        </w:tc>
        <w:tc>
          <w:tcPr/>
          <w:p>
            <w:pPr>
              <w:pStyle w:val="Compact"/>
            </w:pPr>
            <w:r>
              <w:t xml:space="preserve">Important: David’s public oath in 2 Samuel 19 is distinguished from Solomon’s freedom to act</w:t>
            </w:r>
          </w:p>
        </w:tc>
      </w:tr>
      <w:tr>
        <w:tc>
          <w:tcPr/>
          <w:p>
            <w:pPr>
              <w:pStyle w:val="Compact"/>
            </w:pPr>
            <w:r>
              <w:t xml:space="preserve">10–12</w:t>
            </w:r>
          </w:p>
        </w:tc>
        <w:tc>
          <w:tcPr/>
          <w:p>
            <w:pPr>
              <w:pStyle w:val="Compact"/>
            </w:pPr>
            <w:r>
              <w:t xml:space="preserve">David dies and is buried; he reigned 40 years; Solomon sits on David’s throne and his position is firmly established</w:t>
            </w:r>
          </w:p>
        </w:tc>
        <w:tc>
          <w:tcPr/>
          <w:p>
            <w:pPr>
              <w:pStyle w:val="Compact"/>
            </w:pPr>
            <w:r>
              <w:t xml:space="preserve">Transition formula; the kingdom is secure at David’s death</w:t>
            </w:r>
          </w:p>
        </w:tc>
      </w:tr>
      <w:tr>
        <w:tc>
          <w:tcPr/>
          <w:p>
            <w:pPr>
              <w:pStyle w:val="Compact"/>
            </w:pPr>
            <w:r>
              <w:t xml:space="preserve">13–14</w:t>
            </w:r>
          </w:p>
        </w:tc>
        <w:tc>
          <w:tcPr/>
          <w:p>
            <w:pPr>
              <w:pStyle w:val="Compact"/>
            </w:pPr>
            <w:r>
              <w:t xml:space="preserve">Adonijah approaches Bathsheba requesting Abishag (David’s attendant) as wife — ostensibly a personal request</w:t>
            </w:r>
          </w:p>
        </w:tc>
        <w:tc>
          <w:tcPr/>
          <w:p>
            <w:pPr>
              <w:pStyle w:val="Compact"/>
            </w:pPr>
            <w:r>
              <w:t xml:space="preserve">Abishag as a royal concubine/attendant: the request is a political power move, not merely romantic</w:t>
            </w:r>
          </w:p>
        </w:tc>
      </w:tr>
      <w:tr>
        <w:tc>
          <w:tcPr/>
          <w:p>
            <w:pPr>
              <w:pStyle w:val="Compact"/>
            </w:pPr>
            <w:r>
              <w:t xml:space="preserve">15–18</w:t>
            </w:r>
          </w:p>
        </w:tc>
        <w:tc>
          <w:tcPr/>
          <w:p>
            <w:pPr>
              <w:pStyle w:val="Compact"/>
            </w:pPr>
            <w:r>
              <w:t xml:space="preserve">Adonijah frames his request to Bathsheba as a moderate ask; she agrees to approach Solomon</w:t>
            </w:r>
          </w:p>
        </w:tc>
        <w:tc>
          <w:tcPr/>
          <w:p>
            <w:pPr>
              <w:pStyle w:val="Compact"/>
            </w:pPr>
            <w:r>
              <w:t xml:space="preserve">Adonijah acknowledges the kingdom</w:t>
            </w:r>
            <w:r>
              <w:t xml:space="preserve"> </w:t>
            </w:r>
            <w:r>
              <w:t xml:space="preserve">“turned”</w:t>
            </w:r>
            <w:r>
              <w:t xml:space="preserve"> </w:t>
            </w:r>
            <w:r>
              <w:t xml:space="preserve">to Solomon from the LORD — and then attempts to reverse it</w:t>
            </w:r>
          </w:p>
        </w:tc>
      </w:tr>
      <w:tr>
        <w:tc>
          <w:tcPr/>
          <w:p>
            <w:pPr>
              <w:pStyle w:val="Compact"/>
            </w:pPr>
            <w:r>
              <w:t xml:space="preserve">19–22</w:t>
            </w:r>
          </w:p>
        </w:tc>
        <w:tc>
          <w:tcPr/>
          <w:p>
            <w:pPr>
              <w:pStyle w:val="Compact"/>
            </w:pPr>
            <w:r>
              <w:t xml:space="preserve">Bathsheba presents the request to Solomon; Solomon immediately recognizes it as a bid for the throne</w:t>
            </w:r>
          </w:p>
        </w:tc>
        <w:tc>
          <w:tcPr/>
          <w:p>
            <w:pPr>
              <w:pStyle w:val="Compact"/>
            </w:pPr>
            <w:r>
              <w:t xml:space="preserve">Solomon’s response:</w:t>
            </w:r>
            <w:r>
              <w:t xml:space="preserve"> </w:t>
            </w:r>
            <w:r>
              <w:t xml:space="preserve">“Why do you not ask the kingdom for him as well?”</w:t>
            </w:r>
            <w:r>
              <w:t xml:space="preserve"> </w:t>
            </w:r>
            <w:r>
              <w:t xml:space="preserve">— the political logic is transparent</w:t>
            </w:r>
          </w:p>
        </w:tc>
      </w:tr>
      <w:tr>
        <w:tc>
          <w:tcPr/>
          <w:p>
            <w:pPr>
              <w:pStyle w:val="Compact"/>
            </w:pPr>
            <w:r>
              <w:t xml:space="preserve">23–25</w:t>
            </w:r>
          </w:p>
        </w:tc>
        <w:tc>
          <w:tcPr/>
          <w:p>
            <w:pPr>
              <w:pStyle w:val="Compact"/>
            </w:pPr>
            <w:r>
              <w:t xml:space="preserve">Solomon swears an oath and orders Adonijah executed</w:t>
            </w:r>
          </w:p>
        </w:tc>
        <w:tc>
          <w:tcPr/>
          <w:p>
            <w:pPr>
              <w:pStyle w:val="Compact"/>
            </w:pPr>
            <w:r>
              <w:t xml:space="preserve">The first of four consolidating acts; Adonijah’s rebellion was persistent and his request finally decisive</w:t>
            </w:r>
          </w:p>
        </w:tc>
      </w:tr>
      <w:tr>
        <w:tc>
          <w:tcPr/>
          <w:p>
            <w:pPr>
              <w:pStyle w:val="Compact"/>
            </w:pPr>
            <w:r>
              <w:t xml:space="preserve">26–27</w:t>
            </w:r>
          </w:p>
        </w:tc>
        <w:tc>
          <w:tcPr/>
          <w:p>
            <w:pPr>
              <w:pStyle w:val="Compact"/>
            </w:pPr>
            <w:r>
              <w:t xml:space="preserve">Solomon banishes Abiathar from the priesthood to Anathoth; spares his life because he carried the ark before David</w:t>
            </w:r>
          </w:p>
        </w:tc>
        <w:tc>
          <w:tcPr/>
          <w:p>
            <w:pPr>
              <w:pStyle w:val="Compact"/>
            </w:pPr>
            <w:r>
              <w:t xml:space="preserve">Fulfills 1 Samuel 2:27–36 — the prophetic word against Eli’s house finally executed</w:t>
            </w:r>
          </w:p>
        </w:tc>
      </w:tr>
      <w:tr>
        <w:tc>
          <w:tcPr/>
          <w:p>
            <w:pPr>
              <w:pStyle w:val="Compact"/>
            </w:pPr>
            <w:r>
              <w:t xml:space="preserve">28–30</w:t>
            </w:r>
          </w:p>
        </w:tc>
        <w:tc>
          <w:tcPr/>
          <w:p>
            <w:pPr>
              <w:pStyle w:val="Compact"/>
            </w:pPr>
            <w:r>
              <w:t xml:space="preserve">Joab hears of Adonijah’s death and flees to the tent of the LORD, grasping the altar horns — seeking sanctuary</w:t>
            </w:r>
          </w:p>
        </w:tc>
        <w:tc>
          <w:tcPr/>
          <w:p>
            <w:pPr>
              <w:pStyle w:val="Compact"/>
            </w:pPr>
            <w:r>
              <w:t xml:space="preserve">Altar sanctuary did not protect intentional murderers (Exodus 21:14); Benaiah receives the order</w:t>
            </w:r>
          </w:p>
        </w:tc>
      </w:tr>
      <w:tr>
        <w:tc>
          <w:tcPr/>
          <w:p>
            <w:pPr>
              <w:pStyle w:val="Compact"/>
            </w:pPr>
            <w:r>
              <w:t xml:space="preserve">31–35</w:t>
            </w:r>
          </w:p>
        </w:tc>
        <w:tc>
          <w:tcPr/>
          <w:p>
            <w:pPr>
              <w:pStyle w:val="Compact"/>
            </w:pPr>
            <w:r>
              <w:t xml:space="preserve">Solomon orders Joab executed at the altar; Benaiah carries it out; Benaiah replaces Joab as commander</w:t>
            </w:r>
          </w:p>
        </w:tc>
        <w:tc>
          <w:tcPr/>
          <w:p>
            <w:pPr>
              <w:pStyle w:val="Compact"/>
            </w:pPr>
            <w:r>
              <w:t xml:space="preserve">The sanctuary does not override blood guilt; Joab’s long-deferred judgment arrives</w:t>
            </w:r>
          </w:p>
        </w:tc>
      </w:tr>
      <w:tr>
        <w:tc>
          <w:tcPr/>
          <w:p>
            <w:pPr>
              <w:pStyle w:val="Compact"/>
            </w:pPr>
            <w:r>
              <w:t xml:space="preserve">36–38</w:t>
            </w:r>
          </w:p>
        </w:tc>
        <w:tc>
          <w:tcPr/>
          <w:p>
            <w:pPr>
              <w:pStyle w:val="Compact"/>
            </w:pPr>
            <w:r>
              <w:t xml:space="preserve">Solomon restricts Shimei to Jerusalem; Shimei agrees under oath</w:t>
            </w:r>
          </w:p>
        </w:tc>
        <w:tc>
          <w:tcPr/>
          <w:p>
            <w:pPr>
              <w:pStyle w:val="Compact"/>
            </w:pPr>
            <w:r>
              <w:t xml:space="preserve">A conditional reprieve — Shimei’s life preserved by his own compliance</w:t>
            </w:r>
          </w:p>
        </w:tc>
      </w:tr>
      <w:tr>
        <w:tc>
          <w:tcPr/>
          <w:p>
            <w:pPr>
              <w:pStyle w:val="Compact"/>
            </w:pPr>
            <w:r>
              <w:t xml:space="preserve">39–40</w:t>
            </w:r>
          </w:p>
        </w:tc>
        <w:tc>
          <w:tcPr/>
          <w:p>
            <w:pPr>
              <w:pStyle w:val="Compact"/>
            </w:pPr>
            <w:r>
              <w:t xml:space="preserve">Three years later Shimei pursues two runaway slaves to Gath and returns — violating the terms</w:t>
            </w:r>
          </w:p>
        </w:tc>
        <w:tc>
          <w:tcPr/>
          <w:p>
            <w:pPr>
              <w:pStyle w:val="Compact"/>
            </w:pPr>
            <w:r>
              <w:t xml:space="preserve">Shimei’s own choice, not a trap; he breaks his oath freely</w:t>
            </w:r>
          </w:p>
        </w:tc>
      </w:tr>
      <w:tr>
        <w:tc>
          <w:tcPr/>
          <w:p>
            <w:pPr>
              <w:pStyle w:val="Compact"/>
            </w:pPr>
            <w:r>
              <w:t xml:space="preserve">41–44</w:t>
            </w:r>
          </w:p>
        </w:tc>
        <w:tc>
          <w:tcPr/>
          <w:p>
            <w:pPr>
              <w:pStyle w:val="Compact"/>
            </w:pPr>
            <w:r>
              <w:t xml:space="preserve">Solomon confronts Shimei with the terms of his oath and the original offense against David</w:t>
            </w:r>
          </w:p>
        </w:tc>
        <w:tc>
          <w:tcPr/>
          <w:p>
            <w:pPr>
              <w:pStyle w:val="Compact"/>
            </w:pPr>
            <w:r>
              <w:t xml:space="preserve">Solomon acts as covenant witness and judge, not as an aggressor</w:t>
            </w:r>
          </w:p>
        </w:tc>
      </w:tr>
      <w:tr>
        <w:tc>
          <w:tcPr/>
          <w:p>
            <w:pPr>
              <w:pStyle w:val="Compact"/>
            </w:pPr>
            <w:r>
              <w:t xml:space="preserve">45–46</w:t>
            </w:r>
          </w:p>
        </w:tc>
        <w:tc>
          <w:tcPr/>
          <w:p>
            <w:pPr>
              <w:pStyle w:val="Compact"/>
            </w:pPr>
            <w:r>
              <w:t xml:space="preserve">Solomon pronounces judgment; Benaiah executes Shimei; summary:</w:t>
            </w:r>
            <w:r>
              <w:t xml:space="preserve"> </w:t>
            </w:r>
            <w:r>
              <w:t xml:space="preserve">“The kingdom was now firmly established in Solomon’s hands”</w:t>
            </w:r>
          </w:p>
        </w:tc>
        <w:tc>
          <w:tcPr/>
          <w:p>
            <w:pPr>
              <w:pStyle w:val="Compact"/>
            </w:pPr>
            <w:r>
              <w:t xml:space="preserve">The climactic closing statement is the chapter’s theological thesis made visible</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Covenant Charge: Walk Before God and the Kingdom Will Stand</w:t>
            </w:r>
          </w:p>
        </w:tc>
      </w:tr>
      <w:tr>
        <w:tc>
          <w:tcPr/>
          <w:p>
            <w:pPr>
              <w:pStyle w:val="Compact"/>
            </w:pPr>
            <w:r>
              <w:t xml:space="preserve">2</w:t>
            </w:r>
          </w:p>
        </w:tc>
        <w:tc>
          <w:tcPr/>
          <w:p>
            <w:pPr>
              <w:pStyle w:val="Compact"/>
            </w:pPr>
            <w:r>
              <w:t xml:space="preserve">5–9</w:t>
            </w:r>
          </w:p>
        </w:tc>
        <w:tc>
          <w:tcPr/>
          <w:p>
            <w:pPr>
              <w:pStyle w:val="Compact"/>
            </w:pPr>
            <w:r>
              <w:t xml:space="preserve">The Unfinished Accounts: David Entrusts Justice to Solomon</w:t>
            </w:r>
          </w:p>
        </w:tc>
      </w:tr>
      <w:tr>
        <w:tc>
          <w:tcPr/>
          <w:p>
            <w:pPr>
              <w:pStyle w:val="Compact"/>
            </w:pPr>
            <w:r>
              <w:t xml:space="preserve">3</w:t>
            </w:r>
          </w:p>
        </w:tc>
        <w:tc>
          <w:tcPr/>
          <w:p>
            <w:pPr>
              <w:pStyle w:val="Compact"/>
            </w:pPr>
            <w:r>
              <w:t xml:space="preserve">10–12</w:t>
            </w:r>
          </w:p>
        </w:tc>
        <w:tc>
          <w:tcPr/>
          <w:p>
            <w:pPr>
              <w:pStyle w:val="Compact"/>
            </w:pPr>
            <w:r>
              <w:t xml:space="preserve">The Transition: David Rests; Solomon Reigns</w:t>
            </w:r>
          </w:p>
        </w:tc>
      </w:tr>
      <w:tr>
        <w:tc>
          <w:tcPr/>
          <w:p>
            <w:pPr>
              <w:pStyle w:val="Compact"/>
            </w:pPr>
            <w:r>
              <w:t xml:space="preserve">4</w:t>
            </w:r>
          </w:p>
        </w:tc>
        <w:tc>
          <w:tcPr/>
          <w:p>
            <w:pPr>
              <w:pStyle w:val="Compact"/>
            </w:pPr>
            <w:r>
              <w:t xml:space="preserve">13–25</w:t>
            </w:r>
          </w:p>
        </w:tc>
        <w:tc>
          <w:tcPr/>
          <w:p>
            <w:pPr>
              <w:pStyle w:val="Compact"/>
            </w:pPr>
            <w:r>
              <w:t xml:space="preserve">The First Test: Adonijah’s Bid and Its End</w:t>
            </w:r>
          </w:p>
        </w:tc>
      </w:tr>
      <w:tr>
        <w:tc>
          <w:tcPr/>
          <w:p>
            <w:pPr>
              <w:pStyle w:val="Compact"/>
            </w:pPr>
            <w:r>
              <w:t xml:space="preserve">5</w:t>
            </w:r>
          </w:p>
        </w:tc>
        <w:tc>
          <w:tcPr/>
          <w:p>
            <w:pPr>
              <w:pStyle w:val="Compact"/>
            </w:pPr>
            <w:r>
              <w:t xml:space="preserve">26–27</w:t>
            </w:r>
          </w:p>
        </w:tc>
        <w:tc>
          <w:tcPr/>
          <w:p>
            <w:pPr>
              <w:pStyle w:val="Compact"/>
            </w:pPr>
            <w:r>
              <w:t xml:space="preserve">The Prophetic Word Fulfilled: Abiathar Removed</w:t>
            </w:r>
          </w:p>
        </w:tc>
      </w:tr>
      <w:tr>
        <w:tc>
          <w:tcPr/>
          <w:p>
            <w:pPr>
              <w:pStyle w:val="Compact"/>
            </w:pPr>
            <w:r>
              <w:t xml:space="preserve">6</w:t>
            </w:r>
          </w:p>
        </w:tc>
        <w:tc>
          <w:tcPr/>
          <w:p>
            <w:pPr>
              <w:pStyle w:val="Compact"/>
            </w:pPr>
            <w:r>
              <w:t xml:space="preserve">28–35</w:t>
            </w:r>
          </w:p>
        </w:tc>
        <w:tc>
          <w:tcPr/>
          <w:p>
            <w:pPr>
              <w:pStyle w:val="Compact"/>
            </w:pPr>
            <w:r>
              <w:t xml:space="preserve">The Long Account Settled: Joab’s Reckoning Arrives</w:t>
            </w:r>
          </w:p>
        </w:tc>
      </w:tr>
      <w:tr>
        <w:tc>
          <w:tcPr/>
          <w:p>
            <w:pPr>
              <w:pStyle w:val="Compact"/>
            </w:pPr>
            <w:r>
              <w:t xml:space="preserve">7</w:t>
            </w:r>
          </w:p>
        </w:tc>
        <w:tc>
          <w:tcPr/>
          <w:p>
            <w:pPr>
              <w:pStyle w:val="Compact"/>
            </w:pPr>
            <w:r>
              <w:t xml:space="preserve">36–46</w:t>
            </w:r>
          </w:p>
        </w:tc>
        <w:tc>
          <w:tcPr/>
          <w:p>
            <w:pPr>
              <w:pStyle w:val="Compact"/>
            </w:pPr>
            <w:r>
              <w:t xml:space="preserve">The Final Account: Shimei’s Own Oath, His Own End</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chosen king consolidates his throne through covenant faithfulness and the execution of justice.</w:t>
      </w:r>
    </w:p>
    <w:p>
      <w:pPr>
        <w:pStyle w:val="BodyText"/>
      </w:pPr>
      <w:r>
        <w:rPr>
          <w:b/>
          <w:bCs/>
        </w:rPr>
        <w:t xml:space="preserve">Primary Claim:</w:t>
      </w:r>
      <w:r>
        <w:t xml:space="preserve"> </w:t>
      </w:r>
      <w:r>
        <w:t xml:space="preserve">God is demonstrating that His purposes for His anointed king cannot be undone by conspiracy, unfinished accounts, or rival ambition — and that the kingdom established according to His word will stand while every alternative collapses.</w:t>
      </w:r>
    </w:p>
    <w:p>
      <w:r>
        <w:pict>
          <v:rect style="width:0;height:1.5pt" o:hralign="center" o:hrstd="t" o:hr="t"/>
        </w:pict>
      </w:r>
    </w:p>
    <w:bookmarkEnd w:id="15"/>
    <w:bookmarkStart w:id="16" w:name="applications-five"/>
    <w:p>
      <w:pPr>
        <w:pStyle w:val="Heading2"/>
      </w:pPr>
      <w:r>
        <w:t xml:space="preserve">Applications (Five)</w:t>
      </w:r>
    </w:p>
    <w:p>
      <w:pPr>
        <w:pStyle w:val="FirstParagraph"/>
      </w:pPr>
      <w:r>
        <w:rPr>
          <w:b/>
          <w:bCs/>
        </w:rPr>
        <w:t xml:space="preserve">1. Covenant faithfulness is not optional for those who would walk in God’s purposes — obedience is the path on which blessing moves.</w:t>
      </w:r>
      <w:r>
        <w:t xml:space="preserve"> </w:t>
      </w:r>
      <w:r>
        <w:rPr>
          <w:i/>
          <w:iCs/>
        </w:rPr>
        <w:t xml:space="preserve">(Mind/Belief)</w:t>
      </w:r>
    </w:p>
    <w:p>
      <w:pPr>
        <w:pStyle w:val="BodyText"/>
      </w:pPr>
      <w:r>
        <w:t xml:space="preserve">David’s charge to Solomon in verses 2–4 is not a sentimental farewell — it is a covenantal summons grounded in the specific content of the Mosaic law. The promise of dynasty is real; the condition is equally real. Every generation of God’s people faces the same summons: God’s blessing does not flow to those who merely claim covenant status but to those who walk in the covenant’s obligations. The reader must reckon seriously with the fact that God takes His word at face value — and that the promise of a secure standing before Him is given to those who take His word equally seriously.</w:t>
      </w:r>
    </w:p>
    <w:p>
      <w:pPr>
        <w:pStyle w:val="BodyText"/>
      </w:pPr>
      <w:r>
        <w:rPr>
          <w:b/>
          <w:bCs/>
        </w:rPr>
        <w:t xml:space="preserve">2. God’s justice is not defeated by delay — what is deferred is not forgiven, and every unresolved account will be settled.</w:t>
      </w:r>
      <w:r>
        <w:t xml:space="preserve"> </w:t>
      </w:r>
      <w:r>
        <w:rPr>
          <w:i/>
          <w:iCs/>
        </w:rPr>
        <w:t xml:space="preserve">(Affections/Worship)</w:t>
      </w:r>
    </w:p>
    <w:p>
      <w:pPr>
        <w:pStyle w:val="BodyText"/>
      </w:pPr>
      <w:r>
        <w:t xml:space="preserve">Joab had walked free for decades. Shimei had lived comfortably in Jerusalem under a conditional pardon. The reader who observes injustice in the world — or who has suffered it personally and watched the guilty prosper — is invited in this chapter not to despair but to reckon with the character of the God who governs history. God does not forget. The execution of justice in 1 Kings 2 is not a warning to shrink from God in fear but a call to worship the God whose moral order holds, whose scales are never finally off-balance, and before whom no account remains permanently open. Justice deferred is not justice abandoned.</w:t>
      </w:r>
    </w:p>
    <w:p>
      <w:pPr>
        <w:pStyle w:val="BodyText"/>
      </w:pPr>
      <w:r>
        <w:rPr>
          <w:b/>
          <w:bCs/>
        </w:rPr>
        <w:t xml:space="preserve">3. Grasping for what God has not given — even under the cover of modest or sympathetic requests — is a form of rebellion that ends in ruin.</w:t>
      </w:r>
      <w:r>
        <w:t xml:space="preserve"> </w:t>
      </w:r>
      <w:r>
        <w:rPr>
          <w:i/>
          <w:iCs/>
        </w:rPr>
        <w:t xml:space="preserve">(Affections/Worship)</w:t>
      </w:r>
    </w:p>
    <w:p>
      <w:pPr>
        <w:pStyle w:val="BodyText"/>
      </w:pPr>
      <w:r>
        <w:t xml:space="preserve">Adonijah’s request for Abishag reads as a small thing. It was not. It was the final assertion of a claim God had already denied. Solomon’s immediate recognition of the political logic behind the modest request exposes the dynamic: the heart can dress rebellion in the language of reasonableness. The reader is called to examine whether their own pursuit of what God has clearly withheld or redirected is being prosecuted under similarly polite language. The posture the chapter calls for is not resigned passivity but the deep reorientation of desire — learning to want what God has given rather than pursuing what He has not.</w:t>
      </w:r>
    </w:p>
    <w:p>
      <w:pPr>
        <w:pStyle w:val="BodyText"/>
      </w:pPr>
      <w:r>
        <w:rPr>
          <w:b/>
          <w:bCs/>
        </w:rPr>
        <w:t xml:space="preserve">4. Those entrusted with authority under God are responsible for completing the justice their office requires — not deferring indefinitely in the name of political convenience.</w:t>
      </w:r>
      <w:r>
        <w:t xml:space="preserve"> </w:t>
      </w:r>
      <w:r>
        <w:rPr>
          <w:i/>
          <w:iCs/>
        </w:rPr>
        <w:t xml:space="preserve">(Will/Behavior)</w:t>
      </w:r>
    </w:p>
    <w:p>
      <w:pPr>
        <w:pStyle w:val="BodyText"/>
      </w:pPr>
      <w:r>
        <w:t xml:space="preserve">David’s explanation of why he could not deal with Joab himself —</w:t>
      </w:r>
      <w:r>
        <w:t xml:space="preserve"> </w:t>
      </w:r>
      <w:r>
        <w:t xml:space="preserve">“I was not able to”</w:t>
      </w:r>
      <w:r>
        <w:t xml:space="preserve"> </w:t>
      </w:r>
      <w:r>
        <w:t xml:space="preserve">(v. 6, implied by the political constraints of his situation) — is honest. But it also reveals that deferred justice is a burden that passes to the next generation. Leaders in every domain — family, church, institution — carry a responsibility to complete what their role requires, not to defer indefinitely out of relational discomfort, political calculation, or self-protection. Faithful stewardship of authority means completing justice, not passing the unfinished account forward indefinitely.</w:t>
      </w:r>
    </w:p>
    <w:p>
      <w:pPr>
        <w:pStyle w:val="BodyText"/>
      </w:pPr>
      <w:r>
        <w:rPr>
          <w:b/>
          <w:bCs/>
        </w:rPr>
        <w:t xml:space="preserve">5. The kingdom that stands is the one built on God’s word, not on human ambition, alliance, or maneuvering.</w:t>
      </w:r>
      <w:r>
        <w:t xml:space="preserve"> </w:t>
      </w:r>
      <w:r>
        <w:rPr>
          <w:i/>
          <w:iCs/>
        </w:rPr>
        <w:t xml:space="preserve">(Mind/Belief)</w:t>
      </w:r>
    </w:p>
    <w:p>
      <w:pPr>
        <w:pStyle w:val="BodyText"/>
      </w:pPr>
      <w:r>
        <w:t xml:space="preserve">The chapter’s closing line —</w:t>
      </w:r>
      <w:r>
        <w:t xml:space="preserve"> </w:t>
      </w:r>
      <w:r>
        <w:t xml:space="preserve">“The kingdom was now firmly established in Solomon’s hands”</w:t>
      </w:r>
      <w:r>
        <w:t xml:space="preserve"> </w:t>
      </w:r>
      <w:r>
        <w:t xml:space="preserve">— is not merely a political observation. It is a theological verdict. The kingdom stands not because Solomon was a superior strategist but because God’s word concerning David’s line was true and God’s purpose was being accomplished through Solomon’s acts of justice. Every alternative claim to the throne — Adonijah’s, symbolically — ended at the point where it collided with what God had already determined. The reader who builds their security, identity, or hope on anything other than what God has established is building on the same ground as Adonijah. The summons is to build, to rest, and to invest in what God has already declared will stand.</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teaches that God is the sovereign Lord of history who governs the affairs of kings and kingdoms according to His covenantal word. His purposes for His anointed are not contingent on the absence of opposition — they prevail</w:t>
      </w:r>
      <w:r>
        <w:t xml:space="preserve"> </w:t>
      </w:r>
      <w:r>
        <w:rPr>
          <w:i/>
          <w:iCs/>
        </w:rPr>
        <w:t xml:space="preserve">through</w:t>
      </w:r>
      <w:r>
        <w:t xml:space="preserve"> </w:t>
      </w:r>
      <w:r>
        <w:t xml:space="preserve">opposition and the settling of accounts. The chapter also teaches that God’s justice is a moral attribute, not merely a legal mechanism: the blood guilt outstanding on Israel’s land was a real covenantal problem that required resolution, and God’s provision of a king capable of completing that resolution was itself an act of grace toward the nation. Finally, the chapter displays the inseparability of covenant faithfulness and blessing: the conditional structure of David’s charge is not a contradiction of grace but the expected shape of life within a covenant relationship.</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First Kings 2 grounds the Reformed insistence that God’s sovereign purposes are accomplished through — not despite — human action, including acts of justice and authority. The Reformed doctrine of providence is not a doctrine of passivity but of God working His purposes out through the full range of human moral agency, including the exercise of just authority by rulers. The chapter also displays what Reformed theology identifies as the continuity of God’s covenantal administration: the Davidic covenant does not operate in isolation from the Mosaic covenant but within it — the king who is faithful to the law is the king whose throne is established. Ultimately, the chapter points forward to the one King whose throne is established not by the execution of His enemies but by His own death and resurrection — the Son of David in whom every deferred promise finds its permanent fulfillment and every outstanding account is finally and completely settled.</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God’s word about His king stands — and everyone who aligns with it, whether by covenant faithfulness or by submission to His justice, will find themselves on the right side of history. Everyone who grasps after what God has already denied — however modest the request, however sympathetic the posture — will find themselves on the wrong side. The kingdom that endures is the one God establishes; everything else ends at verse 46.</w:t>
      </w:r>
    </w:p>
    <w:p>
      <w:r>
        <w:pict>
          <v:rect style="width:0;height:1.5pt" o:hralign="center" o:hrstd="t" o:hr="t"/>
        </w:pict>
      </w:r>
    </w:p>
    <w:bookmarkEnd w:id="19"/>
    <w:bookmarkStart w:id="20" w:name="preachingteaching-pitfalls"/>
    <w:p>
      <w:pPr>
        <w:pStyle w:val="Heading2"/>
      </w:pPr>
      <w:r>
        <w:t xml:space="preserve">Preaching/Teaching Pitfalls</w:t>
      </w:r>
    </w:p>
    <w:p>
      <w:pPr>
        <w:numPr>
          <w:ilvl w:val="0"/>
          <w:numId w:val="1002"/>
        </w:numPr>
      </w:pPr>
      <w:r>
        <w:rPr>
          <w:b/>
          <w:bCs/>
        </w:rPr>
        <w:t xml:space="preserve">Reading David’s deathbed instructions as petty revenge.</w:t>
      </w:r>
      <w:r>
        <w:t xml:space="preserve"> </w:t>
      </w:r>
      <w:r>
        <w:t xml:space="preserve">This is perhaps the most common mishandling of the passage. The preacher who treats verses 5–9 as evidence of David’s moral failure misses the covenantal logic entirely. The murders of Abner and Amasa were not personal offenses but violations of covenant justice that carried ongoing blood guilt. David’s political constraints were real; his charge to Solomon was not vindictive but judicial. The preacher must do the work to explain the difference between personal vengeance (which the Law forbade) and the legitimate exercise of justice by a duly constituted authority (which the Law required) — or the passage’s argument collapses into moral ambiguity.</w:t>
      </w:r>
    </w:p>
    <w:p>
      <w:pPr>
        <w:numPr>
          <w:ilvl w:val="0"/>
          <w:numId w:val="1002"/>
        </w:numPr>
      </w:pPr>
      <w:r>
        <w:rPr>
          <w:b/>
          <w:bCs/>
        </w:rPr>
        <w:t xml:space="preserve">Moralizing the passage into a leadership lesson.</w:t>
      </w:r>
      <w:r>
        <w:t xml:space="preserve"> </w:t>
      </w:r>
      <w:r>
        <w:t xml:space="preserve">It is easy to preach 1 Kings 2 as</w:t>
      </w:r>
      <w:r>
        <w:t xml:space="preserve"> </w:t>
      </w:r>
      <w:r>
        <w:t xml:space="preserve">“lessons from Solomon on consolidating authority”</w:t>
      </w:r>
      <w:r>
        <w:t xml:space="preserve"> </w:t>
      </w:r>
      <w:r>
        <w:t xml:space="preserve">or</w:t>
      </w:r>
      <w:r>
        <w:t xml:space="preserve"> </w:t>
      </w:r>
      <w:r>
        <w:t xml:space="preserve">“David’s advice for succession planning.”</w:t>
      </w:r>
      <w:r>
        <w:t xml:space="preserve"> </w:t>
      </w:r>
      <w:r>
        <w:t xml:space="preserve">These applications are not wrong at a surface level, but they miss the passage’s theological engine entirely. The point is not primarily that Solomon was a good leader — it is that God’s covenantal purposes were being established through Solomon’s acts. Strip out the covenant and the providence and you are left with a management seminar, not a sermon.</w:t>
      </w:r>
    </w:p>
    <w:p>
      <w:pPr>
        <w:numPr>
          <w:ilvl w:val="0"/>
          <w:numId w:val="1002"/>
        </w:numPr>
      </w:pPr>
      <w:r>
        <w:rPr>
          <w:b/>
          <w:bCs/>
        </w:rPr>
        <w:t xml:space="preserve">Spiritualizing the executions to avoid the moral difficulty.</w:t>
      </w:r>
      <w:r>
        <w:t xml:space="preserve"> </w:t>
      </w:r>
      <w:r>
        <w:t xml:space="preserve">Some preachers, uncomfortable with the violence of the chapter, move too quickly to typology or allegory — treating the executions as symbolic of</w:t>
      </w:r>
      <w:r>
        <w:t xml:space="preserve"> </w:t>
      </w:r>
      <w:r>
        <w:t xml:space="preserve">“putting sin to death”</w:t>
      </w:r>
      <w:r>
        <w:t xml:space="preserve"> </w:t>
      </w:r>
      <w:r>
        <w:t xml:space="preserve">or</w:t>
      </w:r>
      <w:r>
        <w:t xml:space="preserve"> </w:t>
      </w:r>
      <w:r>
        <w:t xml:space="preserve">“eliminating rivals in our spiritual lives.”</w:t>
      </w:r>
      <w:r>
        <w:t xml:space="preserve"> </w:t>
      </w:r>
      <w:r>
        <w:t xml:space="preserve">These connections may have homiletical use in small doses, but if they are used to bypass the historical and covenantal substance of the narrative, the exposition loses contact with what the text is actually doing. The reader needs to encounter the God who governs kingdoms and completes justice in history, not merely a God who assists with personal spiritual hygiene.</w:t>
      </w:r>
    </w:p>
    <w:p>
      <w:pPr>
        <w:numPr>
          <w:ilvl w:val="0"/>
          <w:numId w:val="1002"/>
        </w:numPr>
      </w:pPr>
      <w:r>
        <w:rPr>
          <w:b/>
          <w:bCs/>
        </w:rPr>
        <w:t xml:space="preserve">Ignoring the fulfillment horizon.</w:t>
      </w:r>
      <w:r>
        <w:t xml:space="preserve"> </w:t>
      </w:r>
      <w:r>
        <w:t xml:space="preserve">The opposite of the previous pitfall: preaching the chapter as though it has no canonical resonance beyond its own moment. The Davidic covenant and its fulfillment in Christ is the broader context within which this chapter makes its deepest claim. The preacher who does not at least gesture toward the ultimate Son of David — whose kingdom is established not by Benaiah’s sword but by the empty tomb — has preached the shadow without pointing to the substance.</w:t>
      </w:r>
    </w:p>
    <w:p>
      <w:pPr>
        <w:numPr>
          <w:ilvl w:val="0"/>
          <w:numId w:val="1002"/>
        </w:numPr>
      </w:pPr>
      <w:r>
        <w:rPr>
          <w:b/>
          <w:bCs/>
        </w:rPr>
        <w:t xml:space="preserve">Treating the conditionality of verses 2–4 as undermining assurance.</w:t>
      </w:r>
      <w:r>
        <w:t xml:space="preserve"> </w:t>
      </w:r>
      <w:r>
        <w:t xml:space="preserve">The conditional language of David’s charge is real and should not be softened. But the preacher must be careful not to leave hearers with the impression that God’s purposes for His people ultimately depend on human performance. The very trajectory of the Davidic covenant — continuing through unfaithful kings, preserved by God’s oath, finally fulfilled in Christ — demonstrates that conditionality at the level of individual obedience and blessing does not mean conditionality at the level of divine purpose and promise. Both must be held.</w:t>
      </w:r>
    </w:p>
    <w:p>
      <w:pPr>
        <w:numPr>
          <w:ilvl w:val="0"/>
          <w:numId w:val="1002"/>
        </w:numPr>
      </w:pPr>
      <w:r>
        <w:rPr>
          <w:b/>
          <w:bCs/>
        </w:rPr>
        <w:t xml:space="preserve">Missing the Adonijah dynamic as a pastoral warning.</w:t>
      </w:r>
      <w:r>
        <w:t xml:space="preserve"> </w:t>
      </w:r>
      <w:r>
        <w:t xml:space="preserve">Adonijah’s request for Abishag is one of Scripture’s clearest illustrations of the human tendency to dress persistent rebellion in the clothing of modest, reasonable-sounding requests. The preacher who treats Adonijah’s death as merely political loses a powerful pastoral point: the heart that cannot accept what God has established will find increasingly subtle ways to re-litigate what has already been decided. This is a warning with broad application to how people handle God’s</w:t>
      </w:r>
      <w:r>
        <w:t xml:space="preserve"> </w:t>
      </w:r>
      <w:r>
        <w:t xml:space="preserve">“no”</w:t>
      </w:r>
      <w:r>
        <w:t xml:space="preserve"> </w:t>
      </w:r>
      <w:r>
        <w:t xml:space="preserve">in their own lives.</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2026-07-14T21:02:54Z</dcterms:created>
  <dcterms:modified xsi:type="dcterms:W3CDTF">2026-07-14T21:02:54Z</dcterms:modified>
</cp:coreProperties>
</file>

<file path=docProps/custom.xml><?xml version="1.0" encoding="utf-8"?>
<Properties xmlns="http://schemas.openxmlformats.org/officeDocument/2006/custom-properties" xmlns:vt="http://schemas.openxmlformats.org/officeDocument/2006/docPropsVTypes"/>
</file>